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E8A2" w14:textId="77777777" w:rsidR="000A1BB4" w:rsidRPr="009B2196" w:rsidRDefault="000A1BB4" w:rsidP="000A1BB4">
      <w:pPr>
        <w:shd w:val="clear" w:color="auto" w:fill="FFFFFF"/>
        <w:spacing w:after="0" w:line="336" w:lineRule="atLeast"/>
        <w:rPr>
          <w:rStyle w:val="topdisplay"/>
          <w:rFonts w:cstheme="minorHAnsi"/>
          <w:bCs/>
          <w:iCs/>
          <w:bdr w:val="none" w:sz="0" w:space="0" w:color="auto" w:frame="1"/>
          <w:shd w:val="clear" w:color="auto" w:fill="FFFFFF"/>
        </w:rPr>
      </w:pPr>
      <w:r>
        <w:rPr>
          <w:rStyle w:val="topdisplay"/>
          <w:rFonts w:cstheme="minorHAnsi"/>
          <w:bCs/>
          <w:iCs/>
          <w:bdr w:val="none" w:sz="0" w:space="0" w:color="auto" w:frame="1"/>
          <w:shd w:val="clear" w:color="auto" w:fill="FFFFFF"/>
        </w:rPr>
        <w:t>164</w:t>
      </w:r>
    </w:p>
    <w:p w14:paraId="1C3653A3" w14:textId="77777777" w:rsidR="000A1BB4" w:rsidRPr="009B2196" w:rsidRDefault="000A1BB4" w:rsidP="000A1BB4">
      <w:pPr>
        <w:pStyle w:val="Heading5"/>
        <w:shd w:val="clear" w:color="auto" w:fill="FFFFFF"/>
        <w:spacing w:before="60" w:beforeAutospacing="0" w:after="60" w:afterAutospacing="0"/>
        <w:rPr>
          <w:rFonts w:asciiTheme="minorHAnsi" w:hAnsiTheme="minorHAnsi" w:cstheme="minorHAnsi"/>
          <w:b w:val="0"/>
          <w:sz w:val="22"/>
          <w:szCs w:val="22"/>
        </w:rPr>
      </w:pPr>
      <w:proofErr w:type="spellStart"/>
      <w:r w:rsidRPr="009B2196">
        <w:rPr>
          <w:rStyle w:val="topdisplay"/>
          <w:rFonts w:asciiTheme="minorHAnsi" w:hAnsiTheme="minorHAnsi" w:cstheme="minorHAnsi"/>
          <w:b w:val="0"/>
          <w:bCs w:val="0"/>
          <w:iCs/>
          <w:sz w:val="22"/>
          <w:szCs w:val="22"/>
          <w:bdr w:val="none" w:sz="0" w:space="0" w:color="auto" w:frame="1"/>
          <w:shd w:val="clear" w:color="auto" w:fill="FFFFFF"/>
        </w:rPr>
        <w:t>Muiruri</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V.M., Owen, R.B., Lowenstein, T.K.,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Renaut</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R.,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Rabideaux</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N.M., Luo, S.,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Deino</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A.L.,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Sier</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M.,  Dupont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Nivet</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G., McNulty, E.P.,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Leet</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K., Cohen, A.S.,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Campisano</w:t>
      </w:r>
      <w:proofErr w:type="spellEnd"/>
      <w:r w:rsidRPr="009B2196">
        <w:rPr>
          <w:rStyle w:val="topdisplay"/>
          <w:rFonts w:asciiTheme="minorHAnsi" w:hAnsiTheme="minorHAnsi" w:cstheme="minorHAnsi"/>
          <w:b w:val="0"/>
          <w:iCs/>
          <w:sz w:val="22"/>
          <w:szCs w:val="22"/>
          <w:bdr w:val="none" w:sz="0" w:space="0" w:color="auto" w:frame="1"/>
          <w:shd w:val="clear" w:color="auto" w:fill="FFFFFF"/>
        </w:rPr>
        <w:t xml:space="preserve">, C.J., Deocampo, D., Huang, C.Y., Billingsley, A.L., and </w:t>
      </w:r>
      <w:proofErr w:type="spellStart"/>
      <w:r w:rsidRPr="009B2196">
        <w:rPr>
          <w:rStyle w:val="topdisplay"/>
          <w:rFonts w:asciiTheme="minorHAnsi" w:hAnsiTheme="minorHAnsi" w:cstheme="minorHAnsi"/>
          <w:b w:val="0"/>
          <w:iCs/>
          <w:sz w:val="22"/>
          <w:szCs w:val="22"/>
          <w:bdr w:val="none" w:sz="0" w:space="0" w:color="auto" w:frame="1"/>
          <w:shd w:val="clear" w:color="auto" w:fill="FFFFFF"/>
        </w:rPr>
        <w:t>Mbuthia</w:t>
      </w:r>
      <w:proofErr w:type="spellEnd"/>
      <w:r w:rsidRPr="009B2196">
        <w:rPr>
          <w:rStyle w:val="topdisplay"/>
          <w:rFonts w:asciiTheme="minorHAnsi" w:hAnsiTheme="minorHAnsi" w:cstheme="minorHAnsi"/>
          <w:b w:val="0"/>
          <w:iCs/>
          <w:sz w:val="22"/>
          <w:szCs w:val="22"/>
          <w:bdr w:val="none" w:sz="0" w:space="0" w:color="auto" w:frame="1"/>
          <w:shd w:val="clear" w:color="auto" w:fill="FFFFFF"/>
        </w:rPr>
        <w:t>, A.,</w:t>
      </w:r>
      <w:r>
        <w:rPr>
          <w:rStyle w:val="topdisplay"/>
          <w:rFonts w:asciiTheme="minorHAnsi" w:hAnsiTheme="minorHAnsi" w:cstheme="minorHAnsi"/>
          <w:b w:val="0"/>
          <w:iCs/>
          <w:sz w:val="22"/>
          <w:szCs w:val="22"/>
          <w:bdr w:val="none" w:sz="0" w:space="0" w:color="auto" w:frame="1"/>
          <w:shd w:val="clear" w:color="auto" w:fill="FFFFFF"/>
        </w:rPr>
        <w:t xml:space="preserve">  </w:t>
      </w:r>
      <w:r w:rsidRPr="009B2196">
        <w:rPr>
          <w:rStyle w:val="topdisplay"/>
          <w:rFonts w:asciiTheme="minorHAnsi" w:hAnsiTheme="minorHAnsi" w:cstheme="minorHAnsi"/>
          <w:b w:val="0"/>
          <w:iCs/>
          <w:sz w:val="22"/>
          <w:szCs w:val="22"/>
          <w:bdr w:val="none" w:sz="0" w:space="0" w:color="auto" w:frame="1"/>
          <w:shd w:val="clear" w:color="auto" w:fill="FFFFFF"/>
        </w:rPr>
        <w:t xml:space="preserve">2018 </w:t>
      </w:r>
      <w:hyperlink r:id="rId4" w:history="1">
        <w:r w:rsidRPr="009B2196">
          <w:rPr>
            <w:rStyle w:val="sessionlistnumber"/>
            <w:rFonts w:asciiTheme="minorHAnsi" w:hAnsiTheme="minorHAnsi" w:cstheme="minorHAnsi"/>
            <w:b w:val="0"/>
            <w:bCs w:val="0"/>
            <w:sz w:val="22"/>
            <w:szCs w:val="22"/>
            <w:bdr w:val="none" w:sz="0" w:space="0" w:color="auto" w:frame="1"/>
            <w:shd w:val="clear" w:color="auto" w:fill="FFFFFF"/>
          </w:rPr>
          <w:t>PP22B-03 </w:t>
        </w:r>
        <w:r w:rsidRPr="009B2196">
          <w:rPr>
            <w:rStyle w:val="sessionlisttitle"/>
            <w:rFonts w:asciiTheme="minorHAnsi" w:hAnsiTheme="minorHAnsi" w:cstheme="minorHAnsi"/>
            <w:b w:val="0"/>
            <w:sz w:val="22"/>
            <w:szCs w:val="22"/>
            <w:bdr w:val="none" w:sz="0" w:space="0" w:color="auto" w:frame="1"/>
            <w:shd w:val="clear" w:color="auto" w:fill="FFFFFF"/>
          </w:rPr>
          <w:t xml:space="preserve">Quaternary Diatom and Palynomorph </w:t>
        </w:r>
        <w:proofErr w:type="spellStart"/>
        <w:r w:rsidRPr="009B2196">
          <w:rPr>
            <w:rStyle w:val="sessionlisttitle"/>
            <w:rFonts w:asciiTheme="minorHAnsi" w:hAnsiTheme="minorHAnsi" w:cstheme="minorHAnsi"/>
            <w:b w:val="0"/>
            <w:sz w:val="22"/>
            <w:szCs w:val="22"/>
            <w:bdr w:val="none" w:sz="0" w:space="0" w:color="auto" w:frame="1"/>
            <w:shd w:val="clear" w:color="auto" w:fill="FFFFFF"/>
          </w:rPr>
          <w:t>Stratigraphies</w:t>
        </w:r>
        <w:proofErr w:type="spellEnd"/>
        <w:r w:rsidRPr="009B2196">
          <w:rPr>
            <w:rStyle w:val="sessionlisttitle"/>
            <w:rFonts w:asciiTheme="minorHAnsi" w:hAnsiTheme="minorHAnsi" w:cstheme="minorHAnsi"/>
            <w:b w:val="0"/>
            <w:sz w:val="22"/>
            <w:szCs w:val="22"/>
            <w:bdr w:val="none" w:sz="0" w:space="0" w:color="auto" w:frame="1"/>
            <w:shd w:val="clear" w:color="auto" w:fill="FFFFFF"/>
          </w:rPr>
          <w:t xml:space="preserve"> and </w:t>
        </w:r>
        <w:proofErr w:type="spellStart"/>
        <w:r w:rsidRPr="009B2196">
          <w:rPr>
            <w:rStyle w:val="sessionlisttitle"/>
            <w:rFonts w:asciiTheme="minorHAnsi" w:hAnsiTheme="minorHAnsi" w:cstheme="minorHAnsi"/>
            <w:b w:val="0"/>
            <w:sz w:val="22"/>
            <w:szCs w:val="22"/>
            <w:bdr w:val="none" w:sz="0" w:space="0" w:color="auto" w:frame="1"/>
            <w:shd w:val="clear" w:color="auto" w:fill="FFFFFF"/>
          </w:rPr>
          <w:t>Palaeoenvironments</w:t>
        </w:r>
        <w:proofErr w:type="spellEnd"/>
        <w:r w:rsidRPr="009B2196">
          <w:rPr>
            <w:rStyle w:val="sessionlisttitle"/>
            <w:rFonts w:asciiTheme="minorHAnsi" w:hAnsiTheme="minorHAnsi" w:cstheme="minorHAnsi"/>
            <w:b w:val="0"/>
            <w:sz w:val="22"/>
            <w:szCs w:val="22"/>
            <w:bdr w:val="none" w:sz="0" w:space="0" w:color="auto" w:frame="1"/>
            <w:shd w:val="clear" w:color="auto" w:fill="FFFFFF"/>
          </w:rPr>
          <w:t xml:space="preserve"> of the </w:t>
        </w:r>
        <w:proofErr w:type="spellStart"/>
        <w:r w:rsidRPr="009B2196">
          <w:rPr>
            <w:rStyle w:val="sessionlisttitle"/>
            <w:rFonts w:asciiTheme="minorHAnsi" w:hAnsiTheme="minorHAnsi" w:cstheme="minorHAnsi"/>
            <w:b w:val="0"/>
            <w:sz w:val="22"/>
            <w:szCs w:val="22"/>
            <w:bdr w:val="none" w:sz="0" w:space="0" w:color="auto" w:frame="1"/>
            <w:shd w:val="clear" w:color="auto" w:fill="FFFFFF"/>
          </w:rPr>
          <w:t>Koora</w:t>
        </w:r>
        <w:proofErr w:type="spellEnd"/>
        <w:r w:rsidRPr="009B2196">
          <w:rPr>
            <w:rStyle w:val="sessionlisttitle"/>
            <w:rFonts w:asciiTheme="minorHAnsi" w:hAnsiTheme="minorHAnsi" w:cstheme="minorHAnsi"/>
            <w:b w:val="0"/>
            <w:sz w:val="22"/>
            <w:szCs w:val="22"/>
            <w:bdr w:val="none" w:sz="0" w:space="0" w:color="auto" w:frame="1"/>
            <w:shd w:val="clear" w:color="auto" w:fill="FFFFFF"/>
          </w:rPr>
          <w:t xml:space="preserve"> Graben and Lake </w:t>
        </w:r>
        <w:proofErr w:type="spellStart"/>
        <w:r w:rsidRPr="009B2196">
          <w:rPr>
            <w:rStyle w:val="sessionlisttitle"/>
            <w:rFonts w:asciiTheme="minorHAnsi" w:hAnsiTheme="minorHAnsi" w:cstheme="minorHAnsi"/>
            <w:b w:val="0"/>
            <w:sz w:val="22"/>
            <w:szCs w:val="22"/>
            <w:bdr w:val="none" w:sz="0" w:space="0" w:color="auto" w:frame="1"/>
            <w:shd w:val="clear" w:color="auto" w:fill="FFFFFF"/>
          </w:rPr>
          <w:t>Magadi</w:t>
        </w:r>
        <w:proofErr w:type="spellEnd"/>
        <w:r w:rsidRPr="009B2196">
          <w:rPr>
            <w:rStyle w:val="sessionlisttitle"/>
            <w:rFonts w:asciiTheme="minorHAnsi" w:hAnsiTheme="minorHAnsi" w:cstheme="minorHAnsi"/>
            <w:b w:val="0"/>
            <w:sz w:val="22"/>
            <w:szCs w:val="22"/>
            <w:bdr w:val="none" w:sz="0" w:space="0" w:color="auto" w:frame="1"/>
            <w:shd w:val="clear" w:color="auto" w:fill="FFFFFF"/>
          </w:rPr>
          <w:t xml:space="preserve"> Basin, Kenya Rift Valley</w:t>
        </w:r>
      </w:hyperlink>
      <w:r w:rsidRPr="009B2196">
        <w:rPr>
          <w:rFonts w:asciiTheme="minorHAnsi" w:hAnsiTheme="minorHAnsi" w:cstheme="minorHAnsi"/>
          <w:b w:val="0"/>
          <w:sz w:val="22"/>
          <w:szCs w:val="22"/>
        </w:rPr>
        <w:t>. AGU Fall Meeting, Washington, D.C.</w:t>
      </w:r>
    </w:p>
    <w:p w14:paraId="6B336450" w14:textId="77777777" w:rsidR="000A1BB4" w:rsidRPr="008371A0" w:rsidRDefault="000A1BB4" w:rsidP="000A1BB4">
      <w:pPr>
        <w:shd w:val="clear" w:color="auto" w:fill="FFFFFF"/>
        <w:spacing w:after="0" w:line="336" w:lineRule="atLeast"/>
        <w:rPr>
          <w:rStyle w:val="topdisplay"/>
          <w:rFonts w:cstheme="minorHAnsi"/>
          <w:i/>
          <w:iCs/>
          <w:bdr w:val="none" w:sz="0" w:space="0" w:color="auto" w:frame="1"/>
          <w:shd w:val="clear" w:color="auto" w:fill="FFFFFF"/>
          <w:vertAlign w:val="superscript"/>
        </w:rPr>
      </w:pPr>
      <w:r>
        <w:rPr>
          <w:rFonts w:cstheme="minorHAnsi"/>
        </w:rPr>
        <w:t xml:space="preserve"> </w:t>
      </w:r>
    </w:p>
    <w:p w14:paraId="2D9C3192" w14:textId="77777777" w:rsidR="000A1BB4" w:rsidRDefault="000A1BB4" w:rsidP="000A1BB4">
      <w:pPr>
        <w:spacing w:after="0" w:line="240" w:lineRule="auto"/>
        <w:rPr>
          <w:rFonts w:eastAsia="Times New Roman" w:cstheme="minorHAnsi"/>
          <w:shd w:val="clear" w:color="auto" w:fill="FFFFFF"/>
        </w:rPr>
      </w:pPr>
    </w:p>
    <w:p w14:paraId="5C268614" w14:textId="77777777" w:rsidR="000A1BB4" w:rsidRPr="00DF6AFC" w:rsidRDefault="000A1BB4" w:rsidP="000A1BB4">
      <w:pPr>
        <w:spacing w:after="0" w:line="240" w:lineRule="auto"/>
        <w:rPr>
          <w:rFonts w:eastAsia="Times New Roman" w:cstheme="minorHAnsi"/>
        </w:rPr>
      </w:pPr>
      <w:r w:rsidRPr="00DF6AFC">
        <w:rPr>
          <w:rFonts w:eastAsia="Times New Roman" w:cstheme="minorHAnsi"/>
          <w:shd w:val="clear" w:color="auto" w:fill="FFFFFF"/>
        </w:rPr>
        <w:t>Two cores from the southern Kenya Rift (</w:t>
      </w:r>
      <w:proofErr w:type="spellStart"/>
      <w:r w:rsidRPr="00DF6AFC">
        <w:rPr>
          <w:rFonts w:eastAsia="Times New Roman" w:cstheme="minorHAnsi"/>
          <w:shd w:val="clear" w:color="auto" w:fill="FFFFFF"/>
        </w:rPr>
        <w:t>Koora</w:t>
      </w:r>
      <w:proofErr w:type="spellEnd"/>
      <w:r w:rsidRPr="00DF6AFC">
        <w:rPr>
          <w:rFonts w:eastAsia="Times New Roman" w:cstheme="minorHAnsi"/>
          <w:shd w:val="clear" w:color="auto" w:fill="FFFFFF"/>
        </w:rPr>
        <w:t xml:space="preserve"> and </w:t>
      </w:r>
      <w:proofErr w:type="spellStart"/>
      <w:r w:rsidRPr="00DF6AFC">
        <w:rPr>
          <w:rFonts w:eastAsia="Times New Roman" w:cstheme="minorHAnsi"/>
          <w:shd w:val="clear" w:color="auto" w:fill="FFFFFF"/>
        </w:rPr>
        <w:t>Magadi</w:t>
      </w:r>
      <w:proofErr w:type="spellEnd"/>
      <w:r w:rsidRPr="00DF6AFC">
        <w:rPr>
          <w:rFonts w:eastAsia="Times New Roman" w:cstheme="minorHAnsi"/>
          <w:shd w:val="clear" w:color="auto" w:fill="FFFFFF"/>
        </w:rPr>
        <w:t xml:space="preserve"> basins) were recovered through the Hominin Sites and Paleolakes Drilling Project and the </w:t>
      </w:r>
      <w:proofErr w:type="spellStart"/>
      <w:r w:rsidRPr="00DF6AFC">
        <w:rPr>
          <w:rFonts w:eastAsia="Times New Roman" w:cstheme="minorHAnsi"/>
          <w:shd w:val="clear" w:color="auto" w:fill="FFFFFF"/>
        </w:rPr>
        <w:t>Olorgesailie</w:t>
      </w:r>
      <w:proofErr w:type="spellEnd"/>
      <w:r w:rsidRPr="00DF6AFC">
        <w:rPr>
          <w:rFonts w:eastAsia="Times New Roman" w:cstheme="minorHAnsi"/>
          <w:shd w:val="clear" w:color="auto" w:fill="FFFFFF"/>
        </w:rPr>
        <w:t xml:space="preserve"> Drilling Project. Each contains a detailed environmental history of up to ~1 Ma that correlates with much of the 1.2 Ma outcrop sedimentary record of the neighboring </w:t>
      </w:r>
      <w:proofErr w:type="spellStart"/>
      <w:r w:rsidRPr="00DF6AFC">
        <w:rPr>
          <w:rFonts w:eastAsia="Times New Roman" w:cstheme="minorHAnsi"/>
          <w:shd w:val="clear" w:color="auto" w:fill="FFFFFF"/>
        </w:rPr>
        <w:t>Olorgesailie</w:t>
      </w:r>
      <w:proofErr w:type="spellEnd"/>
      <w:r w:rsidRPr="00DF6AFC">
        <w:rPr>
          <w:rFonts w:eastAsia="Times New Roman" w:cstheme="minorHAnsi"/>
          <w:shd w:val="clear" w:color="auto" w:fill="FFFFFF"/>
        </w:rPr>
        <w:t xml:space="preserve"> Basin. The </w:t>
      </w:r>
      <w:proofErr w:type="spellStart"/>
      <w:r w:rsidRPr="00DF6AFC">
        <w:rPr>
          <w:rFonts w:eastAsia="Times New Roman" w:cstheme="minorHAnsi"/>
          <w:shd w:val="clear" w:color="auto" w:fill="FFFFFF"/>
        </w:rPr>
        <w:t>Magadi</w:t>
      </w:r>
      <w:proofErr w:type="spellEnd"/>
      <w:r w:rsidRPr="00DF6AFC">
        <w:rPr>
          <w:rFonts w:eastAsia="Times New Roman" w:cstheme="minorHAnsi"/>
          <w:shd w:val="clear" w:color="auto" w:fill="FFFFFF"/>
        </w:rPr>
        <w:t xml:space="preserve"> core, MAG14-2A, reached trachyte at 194 m and includes zeolitic, laminated and massive clay and silt, calcareous mud, limestone, chert and </w:t>
      </w:r>
      <w:proofErr w:type="spellStart"/>
      <w:r w:rsidRPr="00DF6AFC">
        <w:rPr>
          <w:rFonts w:eastAsia="Times New Roman" w:cstheme="minorHAnsi"/>
          <w:shd w:val="clear" w:color="auto" w:fill="FFFFFF"/>
        </w:rPr>
        <w:t>trona</w:t>
      </w:r>
      <w:proofErr w:type="spellEnd"/>
      <w:r w:rsidRPr="00DF6AFC">
        <w:rPr>
          <w:rFonts w:eastAsia="Times New Roman" w:cstheme="minorHAnsi"/>
          <w:shd w:val="clear" w:color="auto" w:fill="FFFFFF"/>
        </w:rPr>
        <w:t xml:space="preserve">. The </w:t>
      </w:r>
      <w:proofErr w:type="spellStart"/>
      <w:r w:rsidRPr="00DF6AFC">
        <w:rPr>
          <w:rFonts w:eastAsia="Times New Roman" w:cstheme="minorHAnsi"/>
          <w:shd w:val="clear" w:color="auto" w:fill="FFFFFF"/>
        </w:rPr>
        <w:t>Koora</w:t>
      </w:r>
      <w:proofErr w:type="spellEnd"/>
      <w:r w:rsidRPr="00DF6AFC">
        <w:rPr>
          <w:rFonts w:eastAsia="Times New Roman" w:cstheme="minorHAnsi"/>
          <w:shd w:val="clear" w:color="auto" w:fill="FFFFFF"/>
        </w:rPr>
        <w:t xml:space="preserve"> core (OLO12-1A) extended to depths of 166 m and contains laminated and massive </w:t>
      </w:r>
      <w:proofErr w:type="spellStart"/>
      <w:r w:rsidRPr="00DF6AFC">
        <w:rPr>
          <w:rFonts w:eastAsia="Times New Roman" w:cstheme="minorHAnsi"/>
          <w:shd w:val="clear" w:color="auto" w:fill="FFFFFF"/>
        </w:rPr>
        <w:t>diatomites</w:t>
      </w:r>
      <w:proofErr w:type="spellEnd"/>
      <w:r w:rsidRPr="00DF6AFC">
        <w:rPr>
          <w:rFonts w:eastAsia="Times New Roman" w:cstheme="minorHAnsi"/>
          <w:shd w:val="clear" w:color="auto" w:fill="FFFFFF"/>
        </w:rPr>
        <w:t xml:space="preserve">, fine to coarse sands, lime and siliciclastic mud, with pumice-rich gravels. The two cores are particularly important because they fill erosional gaps in the environmental history of the </w:t>
      </w:r>
      <w:proofErr w:type="spellStart"/>
      <w:r w:rsidRPr="00DF6AFC">
        <w:rPr>
          <w:rFonts w:eastAsia="Times New Roman" w:cstheme="minorHAnsi"/>
          <w:shd w:val="clear" w:color="auto" w:fill="FFFFFF"/>
        </w:rPr>
        <w:t>Olorgesailie</w:t>
      </w:r>
      <w:proofErr w:type="spellEnd"/>
      <w:r w:rsidRPr="00DF6AFC">
        <w:rPr>
          <w:rFonts w:eastAsia="Times New Roman" w:cstheme="minorHAnsi"/>
          <w:shd w:val="clear" w:color="auto" w:fill="FFFFFF"/>
        </w:rPr>
        <w:t xml:space="preserve"> Basin, which includes important evidence for changing hominin cultures and evolution.</w:t>
      </w:r>
    </w:p>
    <w:p w14:paraId="4CF29783" w14:textId="77777777" w:rsidR="000A1BB4" w:rsidRPr="00DF6AFC" w:rsidRDefault="000A1BB4" w:rsidP="000A1BB4">
      <w:pPr>
        <w:shd w:val="clear" w:color="auto" w:fill="FFFFFF"/>
        <w:spacing w:after="0" w:line="336" w:lineRule="atLeast"/>
        <w:rPr>
          <w:rFonts w:eastAsia="Times New Roman" w:cstheme="minorHAnsi"/>
        </w:rPr>
      </w:pPr>
      <w:r w:rsidRPr="00DF6AFC">
        <w:rPr>
          <w:rFonts w:eastAsia="Times New Roman" w:cstheme="minorHAnsi"/>
        </w:rPr>
        <w:t xml:space="preserve">Diatoms are present in much of the </w:t>
      </w:r>
      <w:proofErr w:type="spellStart"/>
      <w:r w:rsidRPr="00DF6AFC">
        <w:rPr>
          <w:rFonts w:eastAsia="Times New Roman" w:cstheme="minorHAnsi"/>
        </w:rPr>
        <w:t>Koora</w:t>
      </w:r>
      <w:proofErr w:type="spellEnd"/>
      <w:r w:rsidRPr="00DF6AFC">
        <w:rPr>
          <w:rFonts w:eastAsia="Times New Roman" w:cstheme="minorHAnsi"/>
        </w:rPr>
        <w:t xml:space="preserve"> and </w:t>
      </w:r>
      <w:proofErr w:type="spellStart"/>
      <w:r w:rsidRPr="00DF6AFC">
        <w:rPr>
          <w:rFonts w:eastAsia="Times New Roman" w:cstheme="minorHAnsi"/>
        </w:rPr>
        <w:t>Magadi</w:t>
      </w:r>
      <w:proofErr w:type="spellEnd"/>
      <w:r w:rsidRPr="00DF6AFC">
        <w:rPr>
          <w:rFonts w:eastAsia="Times New Roman" w:cstheme="minorHAnsi"/>
        </w:rPr>
        <w:t xml:space="preserve"> basin sediments. These are dominated by a variety of planktonic </w:t>
      </w:r>
      <w:proofErr w:type="spellStart"/>
      <w:r w:rsidRPr="008371A0">
        <w:rPr>
          <w:rFonts w:eastAsia="Times New Roman" w:cstheme="minorHAnsi"/>
          <w:i/>
          <w:iCs/>
          <w:bdr w:val="none" w:sz="0" w:space="0" w:color="auto" w:frame="1"/>
        </w:rPr>
        <w:t>Aulacoseira</w:t>
      </w:r>
      <w:proofErr w:type="spellEnd"/>
      <w:r w:rsidRPr="008371A0">
        <w:rPr>
          <w:rFonts w:eastAsia="Times New Roman" w:cstheme="minorHAnsi"/>
          <w:i/>
          <w:iCs/>
          <w:bdr w:val="none" w:sz="0" w:space="0" w:color="auto" w:frame="1"/>
        </w:rPr>
        <w:t>, Cyclotella </w:t>
      </w:r>
      <w:r w:rsidRPr="00DF6AFC">
        <w:rPr>
          <w:rFonts w:eastAsia="Times New Roman" w:cstheme="minorHAnsi"/>
        </w:rPr>
        <w:t>and </w:t>
      </w:r>
      <w:proofErr w:type="spellStart"/>
      <w:r w:rsidRPr="008371A0">
        <w:rPr>
          <w:rFonts w:eastAsia="Times New Roman" w:cstheme="minorHAnsi"/>
          <w:i/>
          <w:iCs/>
          <w:bdr w:val="none" w:sz="0" w:space="0" w:color="auto" w:frame="1"/>
        </w:rPr>
        <w:t>Thalassiosira</w:t>
      </w:r>
      <w:proofErr w:type="spellEnd"/>
      <w:r w:rsidRPr="008371A0">
        <w:rPr>
          <w:rFonts w:eastAsia="Times New Roman" w:cstheme="minorHAnsi"/>
          <w:i/>
          <w:iCs/>
          <w:bdr w:val="none" w:sz="0" w:space="0" w:color="auto" w:frame="1"/>
        </w:rPr>
        <w:t> </w:t>
      </w:r>
      <w:r w:rsidRPr="00DF6AFC">
        <w:rPr>
          <w:rFonts w:eastAsia="Times New Roman" w:cstheme="minorHAnsi"/>
        </w:rPr>
        <w:t xml:space="preserve">taxa in both basins. These and other taxa provide a detailed record of lakes that fluctuated in depth, extent and chemistry, and reveal the presence of wetlands, freshwater and saline lakes. Diatom transfer functions indicate that the water bodies fluctuated widely in conductivity between ~200 to &gt;20,000 </w:t>
      </w:r>
      <w:proofErr w:type="spellStart"/>
      <w:r w:rsidRPr="00DF6AFC">
        <w:rPr>
          <w:rFonts w:eastAsia="Times New Roman" w:cstheme="minorHAnsi"/>
        </w:rPr>
        <w:t>μS</w:t>
      </w:r>
      <w:proofErr w:type="spellEnd"/>
      <w:r w:rsidRPr="00DF6AFC">
        <w:rPr>
          <w:rFonts w:eastAsia="Times New Roman" w:cstheme="minorHAnsi"/>
        </w:rPr>
        <w:t xml:space="preserve"> cm</w:t>
      </w:r>
      <w:r w:rsidRPr="00DF6AFC">
        <w:rPr>
          <w:rFonts w:eastAsia="Times New Roman" w:cstheme="minorHAnsi"/>
          <w:bdr w:val="none" w:sz="0" w:space="0" w:color="auto" w:frame="1"/>
          <w:vertAlign w:val="superscript"/>
        </w:rPr>
        <w:t>−1</w:t>
      </w:r>
      <w:r w:rsidRPr="00DF6AFC">
        <w:rPr>
          <w:rFonts w:eastAsia="Times New Roman" w:cstheme="minorHAnsi"/>
        </w:rPr>
        <w:t xml:space="preserve">, with pH changing between about 7.5 and 11.5. The </w:t>
      </w:r>
      <w:proofErr w:type="spellStart"/>
      <w:r w:rsidRPr="00DF6AFC">
        <w:rPr>
          <w:rFonts w:eastAsia="Times New Roman" w:cstheme="minorHAnsi"/>
        </w:rPr>
        <w:t>palaeolakes</w:t>
      </w:r>
      <w:proofErr w:type="spellEnd"/>
      <w:r w:rsidRPr="00DF6AFC">
        <w:rPr>
          <w:rFonts w:eastAsia="Times New Roman" w:cstheme="minorHAnsi"/>
        </w:rPr>
        <w:t xml:space="preserve"> also periodically exceeded diatom tolerance limits and intermittently dried out. Pollen are generally lacking in the </w:t>
      </w:r>
      <w:proofErr w:type="spellStart"/>
      <w:r w:rsidRPr="00DF6AFC">
        <w:rPr>
          <w:rFonts w:eastAsia="Times New Roman" w:cstheme="minorHAnsi"/>
        </w:rPr>
        <w:t>Koora</w:t>
      </w:r>
      <w:proofErr w:type="spellEnd"/>
      <w:r w:rsidRPr="00DF6AFC">
        <w:rPr>
          <w:rFonts w:eastAsia="Times New Roman" w:cstheme="minorHAnsi"/>
        </w:rPr>
        <w:t xml:space="preserve"> basin sediments, but deposits in the </w:t>
      </w:r>
      <w:proofErr w:type="spellStart"/>
      <w:r w:rsidRPr="00DF6AFC">
        <w:rPr>
          <w:rFonts w:eastAsia="Times New Roman" w:cstheme="minorHAnsi"/>
        </w:rPr>
        <w:t>Magadi</w:t>
      </w:r>
      <w:proofErr w:type="spellEnd"/>
      <w:r w:rsidRPr="00DF6AFC">
        <w:rPr>
          <w:rFonts w:eastAsia="Times New Roman" w:cstheme="minorHAnsi"/>
        </w:rPr>
        <w:t xml:space="preserve"> core contain common pollen that document a wide range of habitats, including forests, woodlands and grasslands that could have supported the presence of hominins and their activities in the region. Fungal spore data support pollen inferences and indicate periods when large mammals might have been common.</w:t>
      </w:r>
    </w:p>
    <w:p w14:paraId="6C25EB5B" w14:textId="77777777" w:rsidR="00911F32" w:rsidRDefault="00911F32">
      <w:bookmarkStart w:id="0" w:name="_GoBack"/>
      <w:bookmarkEnd w:id="0"/>
    </w:p>
    <w:sectPr w:rsidR="0091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A1BB4"/>
    <w:rsid w:val="009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B4"/>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u.confex.com/agu/fm18/meetingapp.cgi/Paper/407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2019-01-03T19:16:00Z</dcterms:created>
  <dcterms:modified xsi:type="dcterms:W3CDTF">2019-01-03T19:16:00Z</dcterms:modified>
</cp:coreProperties>
</file>